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C0CBA" w14:textId="77777777" w:rsidR="00890A86" w:rsidRPr="00890A86" w:rsidRDefault="00890A86" w:rsidP="003403B2">
      <w:pPr>
        <w:keepNext/>
        <w:keepLines/>
        <w:spacing w:before="360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 w:eastAsia="zh-CN"/>
        </w:rPr>
      </w:pPr>
      <w:bookmarkStart w:id="0" w:name="Xd6118c264a6352457c5504635a50e0f12b32b99"/>
      <w:r w:rsidRPr="00890A8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val="ru-RU" w:eastAsia="zh-CN"/>
        </w:rPr>
        <w:t>Інформація щодо забезпечення мешканців Сумської міської територіальної громади соціальними послугами у 2025 році</w:t>
      </w:r>
    </w:p>
    <w:p w14:paraId="4F73C98C" w14:textId="77777777" w:rsidR="00075261" w:rsidRDefault="00075261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bookmarkStart w:id="1" w:name="Xdaaa4536dd3306bd2385cd946ae34cf30f19f17"/>
      <w:r w:rsidRP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З метою задоволення потреб мешканців Сумської міської територіальної громади у соціальних послугах та забезпечення їх своєчасного і якісного надання Департаментом соціального захисту населення Сумської міської ради проведено аналіз потреб населення у соціальних послугах за підсумками 2025 року. </w:t>
      </w:r>
    </w:p>
    <w:p w14:paraId="59F008E6" w14:textId="68924BD3" w:rsidR="00075261" w:rsidRDefault="00075261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Аналіз здійснено відповідно до Закону України «Про соціальні послуги» та Порядку визначення потреб населення адміністративно-територіальної одиниці / територіальної громади у соціальних послугах, затвердженого наказом Міністерства соціальної політики України від 19.04.2023 № 130-Н.</w:t>
      </w:r>
    </w:p>
    <w:p w14:paraId="143C86D3" w14:textId="4B6417C0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</w:pPr>
      <w:r w:rsidRPr="00890A8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  <w:t>Аналіз потреб населення у соціальних послугах</w:t>
      </w:r>
    </w:p>
    <w:p w14:paraId="710CF749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Під час проведення аналізу враховувалися такі показники:</w:t>
      </w:r>
    </w:p>
    <w:p w14:paraId="197792EC" w14:textId="53735474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кількість осіб, які зверталися щодо отримання соціальних послуг, а також осіб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/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сімей, щодо яких у звітному періоді надходили звернення або повідомлення про потребу в соціальних послугах;</w:t>
      </w:r>
    </w:p>
    <w:p w14:paraId="1B4C34B0" w14:textId="48CB8E7E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кількість осіб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/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сімей, щодо яких за результатами оцінювання потреб визначено необхідність у наданні соціальних послуг;</w:t>
      </w:r>
    </w:p>
    <w:p w14:paraId="558E0C51" w14:textId="0E3538C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кількість осіб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/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сімей, які отримували соціальні послуги;</w:t>
      </w:r>
    </w:p>
    <w:p w14:paraId="457B6B19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результати роботи надавачів соціальних послуг у розрізі базових та інших соціальних послуг, визначених Класифікатором соціальних послуг, на території Сумської МТГ в умовах воєнного стану.</w:t>
      </w:r>
    </w:p>
    <w:p w14:paraId="2AC87899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У 2025 році Сумська МТГ налічувала близько 260 тисяч мешканців. Соціально-економічна ситуація у громаді ускладнювалася впливом воєнних дій, внутрішнім переміщенням населення (понад 30 тисяч внутрішньо переміщених осіб) та зростанням потреби у соціальних послугах.</w:t>
      </w:r>
    </w:p>
    <w:p w14:paraId="67C7493D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За результатами аналізу встановлено потребу у різних видах соціальних послуг для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23 734 мешканців громади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 Виявлені потреби були максимально охоплені наявною мережею надавачів соціальних послуг.</w:t>
      </w:r>
    </w:p>
    <w:p w14:paraId="6351AA2F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</w:pPr>
      <w:bookmarkStart w:id="2" w:name="мережа-надавачів-соціальних-послуг"/>
      <w:bookmarkEnd w:id="1"/>
      <w:r w:rsidRPr="00890A8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  <w:t>Мережа надавачів соціальних послуг</w:t>
      </w:r>
    </w:p>
    <w:p w14:paraId="4EFAC509" w14:textId="4DD92113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У 2025 році соціальні послуги мешканцям громади надавали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4 </w:t>
      </w:r>
      <w:r w:rsidRPr="00890A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val="ru-RU" w:eastAsia="zh-CN"/>
        </w:rPr>
        <w:t>комунальні установи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, підпорядковані Департаменту:</w:t>
      </w:r>
    </w:p>
    <w:p w14:paraId="0565BCB2" w14:textId="1DD6C1CD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комунальна установа «Сумський міський територіальний центр соціального обслуговування (надання соціальних послуг) «Берегиня»;</w:t>
      </w:r>
    </w:p>
    <w:p w14:paraId="2B04A4A6" w14:textId="6E168BE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комунальна установа «Центр учасників бойових дій» Сумської міської ради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;</w:t>
      </w:r>
    </w:p>
    <w:p w14:paraId="6C2D3FAE" w14:textId="72021553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комунальна установа «Центр матері та дитини»;</w:t>
      </w:r>
    </w:p>
    <w:p w14:paraId="1EF0EC13" w14:textId="33BA3C8E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Сумський міський центр соціальних служб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</w:t>
      </w:r>
    </w:p>
    <w:p w14:paraId="1B9D641B" w14:textId="62967C88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lastRenderedPageBreak/>
        <w:t>Комунальні установи–надавачі соці</w:t>
      </w:r>
      <w:bookmarkStart w:id="3" w:name="_GoBack"/>
      <w:bookmarkEnd w:id="3"/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альних послуг у своїй діяльності використовують функціонал електронного кейс-менеджменту «Ведення випадку», що є складовою Єдиної інформаційної системи соціальної сфери (ЄІССС).</w:t>
      </w:r>
    </w:p>
    <w:p w14:paraId="00161310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У 2025 році із використанням ЄІССС опрацьовано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631 пакет документів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та прийнято відповідні рішення про надання соціальних послуг.</w:t>
      </w:r>
    </w:p>
    <w:p w14:paraId="69E60994" w14:textId="6BD75F76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З метою забезпечення ефективності та доступності соціальних послуг для найбільш уразливих категорій населення Сумської МТГ, які перебувають у складних життєвих обставинах або мають високий ризик потрапляння у такі обставини, комунальними установами–надавачами соціальних послуг в умовах воєнного стану забезпечувалося надання соціальних послуг відповідно до наказу Сумської міської військової адміністрації від 19.08.2025 № 196-СМВА «Про умови надання соціальних послуг, зокрема надавачами соціальних послуг, утворених Сумською міською радою, за рахунок коштів бюджету громади (безоплатно)».</w:t>
      </w:r>
    </w:p>
    <w:p w14:paraId="390A5885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Відповідно до зазначеного наказу затверджено перелік соціальних послуг, які надаються за рахунок коштів бюджету громади безоплатно.</w:t>
      </w:r>
    </w:p>
    <w:p w14:paraId="5CF2C10E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Таким чином,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10 соціальних послуг у громаді надаються виключно за рахунок коштів бюджету громади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</w:t>
      </w:r>
    </w:p>
    <w:p w14:paraId="67E50EA6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Крім того, послуги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догляду вдома та транспортних послуг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у територіальному центрі надаються безоплатно визначеним категоріям громадян, зокрема членам сімей загиблих (померлих) ветеранів війни та Захисників і Захисниць України. Для інших категорій отримувачів зазначені послуги надаються на платній основі відповідно до встановлених тарифів.</w:t>
      </w:r>
    </w:p>
    <w:p w14:paraId="3595FED1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bookmarkStart w:id="4" w:name="Xcedf46de6dcc6aa12d43ac6862425fd794f8963"/>
      <w:bookmarkEnd w:id="2"/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На території Сумської МТГ у 2025 році також працювали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5 </w:t>
      </w:r>
      <w:r w:rsidRPr="00890A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val="ru-RU" w:eastAsia="zh-CN"/>
        </w:rPr>
        <w:t>надавачів соціальних послуг недержавного сектору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, внесених до Реєстру надавачів та отримувачів соціальних послуг.</w:t>
      </w:r>
    </w:p>
    <w:p w14:paraId="565D5FC8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Ними забезпечувалося надання таких соціальних послуг, як денний догляд, соціальна реабілітація, догляд вдома, соціальний супровід сімей, які перебувають у складних життєвих обставинах, тощо.</w:t>
      </w:r>
    </w:p>
    <w:p w14:paraId="57305CE9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До них належали:</w:t>
      </w:r>
    </w:p>
    <w:p w14:paraId="75694E01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громадська організація «Товариство допомоги особам з інвалідністю внаслідок інтелектуальних порушень «Феліцитас»;</w:t>
      </w:r>
    </w:p>
    <w:p w14:paraId="63E263C3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громадська організація «Мереживо»;</w:t>
      </w:r>
    </w:p>
    <w:p w14:paraId="7F1A2327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Сумська обласна організація Товариства Червоного Хреста України;</w:t>
      </w:r>
    </w:p>
    <w:p w14:paraId="28C37DEA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громадська організація «Плурітон»;</w:t>
      </w:r>
    </w:p>
    <w:p w14:paraId="6EC23F77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Сумська міська організація ветеранів війни, інвалідів та учасників ліквідації аварії на ЧАЕС «Разом».</w:t>
      </w:r>
    </w:p>
    <w:p w14:paraId="2D09A0AF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Соціальні послуги мешканцям Сумської МТГ також надавали надавачі соціальних послуг обласного підпорядкування:</w:t>
      </w:r>
    </w:p>
    <w:p w14:paraId="65661524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Обласна комунальна установа Сумської обласної ради «Соціальний гуртожиток для дітей-сиріт та дітей, позбавлених батьківського піклування»;</w:t>
      </w:r>
    </w:p>
    <w:p w14:paraId="1845EF6E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комунальна установа Сумської обласної ради «Сумський обласний центр комплексної реабілітації для дітей та осіб з інвалідністю».</w:t>
      </w:r>
    </w:p>
    <w:p w14:paraId="4DFF1146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</w:pPr>
      <w:bookmarkStart w:id="5" w:name="соціальні-послуги-надані-у-2025-році"/>
      <w:bookmarkEnd w:id="4"/>
      <w:r w:rsidRPr="00890A8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  <w:t>Соціальні послуги, надані у 2025 році</w:t>
      </w:r>
    </w:p>
    <w:p w14:paraId="4D467AC1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Аналіз отриманих та опрацьованих даних свідчить про те, що в громаді налагоджена системна робота щодо організації та надання соціальних послуг.</w:t>
      </w:r>
    </w:p>
    <w:p w14:paraId="23E00D2A" w14:textId="47BA67B6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У 2025 році мешканцям Сумської МТГ забезпечено надання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17 соціальних послуг, з яких 12 </w:t>
      </w:r>
      <w:r w:rsidR="00075261" w:rsidRPr="0007526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—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 xml:space="preserve"> базові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</w:t>
      </w:r>
    </w:p>
    <w:p w14:paraId="6565CFEF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Серед них:</w:t>
      </w:r>
    </w:p>
    <w:p w14:paraId="0DE6EF33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Соціальна адаптація</w:t>
      </w: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, у тому числі соціальна адаптація ветеранів війни та членів їхніх сімей.</w:t>
      </w:r>
    </w:p>
    <w:p w14:paraId="6F73362A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Екстрене (кризове) втручання.</w:t>
      </w:r>
    </w:p>
    <w:p w14:paraId="31F1E3C4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Консультування.</w:t>
      </w:r>
    </w:p>
    <w:p w14:paraId="27BBAF72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Натуральна допомога.</w:t>
      </w:r>
    </w:p>
    <w:p w14:paraId="664668B3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Посередництво.</w:t>
      </w:r>
    </w:p>
    <w:p w14:paraId="362B9563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Соціальний супровід</w:t>
      </w: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, зокрема:</w:t>
      </w:r>
    </w:p>
    <w:p w14:paraId="410EC231" w14:textId="35AACBD7" w:rsidR="00890A86" w:rsidRPr="00890A86" w:rsidRDefault="00890A86" w:rsidP="00890A86">
      <w:pPr>
        <w:numPr>
          <w:ilvl w:val="1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соціальний супровід сімей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/</w:t>
      </w:r>
      <w:r w:rsidR="0007526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осіб, які перебувають у складних життєвих обставинах;</w:t>
      </w:r>
    </w:p>
    <w:p w14:paraId="6E3CB9B9" w14:textId="77777777" w:rsidR="00890A86" w:rsidRPr="00890A86" w:rsidRDefault="00890A86" w:rsidP="00890A86">
      <w:pPr>
        <w:numPr>
          <w:ilvl w:val="1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соціальний супровід при працевлаштуванні та на робочому місці;</w:t>
      </w:r>
    </w:p>
    <w:p w14:paraId="2AADEBF0" w14:textId="77777777" w:rsidR="00890A86" w:rsidRPr="00890A86" w:rsidRDefault="00890A86" w:rsidP="00890A86">
      <w:pPr>
        <w:numPr>
          <w:ilvl w:val="1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соціальний супровід сімей, у яких виховуються діти-сироти та діти, позбавлені батьківського піклування.</w:t>
      </w:r>
    </w:p>
    <w:p w14:paraId="6D41283B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Догляд</w:t>
      </w: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, зокрема:</w:t>
      </w:r>
    </w:p>
    <w:p w14:paraId="77B15BA9" w14:textId="77777777" w:rsidR="00890A86" w:rsidRPr="00890A86" w:rsidRDefault="00890A86" w:rsidP="00890A86">
      <w:pPr>
        <w:numPr>
          <w:ilvl w:val="1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догляд вдома;</w:t>
      </w:r>
    </w:p>
    <w:p w14:paraId="6A1668E3" w14:textId="77777777" w:rsidR="00890A86" w:rsidRPr="00890A86" w:rsidRDefault="00890A86" w:rsidP="00890A86">
      <w:pPr>
        <w:numPr>
          <w:ilvl w:val="1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денний догляд.</w:t>
      </w:r>
    </w:p>
    <w:p w14:paraId="78C2CE76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Соціальна інтеграція та реінтеграція.</w:t>
      </w:r>
    </w:p>
    <w:p w14:paraId="64778AB0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Надання притулку.</w:t>
      </w:r>
    </w:p>
    <w:p w14:paraId="59106BA9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>Представництво інтересів.</w:t>
      </w:r>
    </w:p>
    <w:p w14:paraId="65FF178C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Соціальна профілактика.</w:t>
      </w:r>
    </w:p>
    <w:p w14:paraId="063737F2" w14:textId="77777777" w:rsidR="00890A86" w:rsidRPr="00890A86" w:rsidRDefault="00890A86" w:rsidP="00890A86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Переклад жестовою мовою.</w:t>
      </w:r>
    </w:p>
    <w:p w14:paraId="0F69E97A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Послуга перекладу жестовою мовою надається за допомогою мобільного застосунку «Сервіс УТОГ», користувачами якого є особи з інвалідністю.</w:t>
      </w:r>
    </w:p>
    <w:p w14:paraId="6D2EA763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0F4761"/>
          <w:sz w:val="28"/>
          <w:szCs w:val="28"/>
          <w:lang w:val="ru-RU" w:eastAsia="zh-CN"/>
        </w:rPr>
      </w:pPr>
      <w:bookmarkStart w:id="6" w:name="X64b7a40dc1220007ac561f7e4e07d5e1e788935"/>
      <w:bookmarkEnd w:id="5"/>
      <w:r w:rsidRPr="00890A86">
        <w:rPr>
          <w:rFonts w:ascii="Times New Roman" w:eastAsia="Times New Roman" w:hAnsi="Times New Roman" w:cs="Times New Roman"/>
          <w:i/>
          <w:color w:val="0F4761"/>
          <w:sz w:val="28"/>
          <w:szCs w:val="28"/>
          <w:lang w:val="ru-RU" w:eastAsia="zh-CN"/>
        </w:rPr>
        <w:t>Комплексна соціальна послуга з формування життєстійкості</w:t>
      </w:r>
    </w:p>
    <w:p w14:paraId="31D87867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Відповідно до виявленої потреби у 2025 році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5 033 мешканці громади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мали можливість отримати комплексну соціальну послугу з формування життєстійкості.</w:t>
      </w:r>
    </w:p>
    <w:p w14:paraId="588FCF93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Послугу надавала громадська організація «Мереживо» в межах реалізації експериментального проєкту Міністерства соціальної політики, сім’ї та єдності України.</w:t>
      </w:r>
    </w:p>
    <w:p w14:paraId="201B112C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0F4761"/>
          <w:sz w:val="28"/>
          <w:szCs w:val="28"/>
          <w:lang w:val="ru-RU" w:eastAsia="zh-CN"/>
        </w:rPr>
      </w:pPr>
      <w:bookmarkStart w:id="7" w:name="найбільш-затребувані-соціальні-послуги"/>
      <w:bookmarkEnd w:id="6"/>
      <w:r w:rsidRPr="00890A86">
        <w:rPr>
          <w:rFonts w:ascii="Times New Roman" w:eastAsia="Times New Roman" w:hAnsi="Times New Roman" w:cs="Times New Roman"/>
          <w:i/>
          <w:color w:val="0F4761"/>
          <w:sz w:val="28"/>
          <w:szCs w:val="28"/>
          <w:lang w:val="ru-RU" w:eastAsia="zh-CN"/>
        </w:rPr>
        <w:t>Найбільш затребувані соціальні послуги</w:t>
      </w:r>
    </w:p>
    <w:p w14:paraId="496E857F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Для наочного відображення структури попиту на соціальні послуги в громаді нижче наведено діаграму найбільш затребуваних соціальних послуг.</w:t>
      </w:r>
    </w:p>
    <w:p w14:paraId="3004420A" w14:textId="7E28F63F" w:rsidR="00890A86" w:rsidRPr="00890A86" w:rsidRDefault="003403B2" w:rsidP="0007526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>
        <w:rPr>
          <w:noProof/>
        </w:rPr>
        <w:drawing>
          <wp:inline distT="0" distB="0" distL="0" distR="0" wp14:anchorId="3569AF20" wp14:editId="6B7EFC2C">
            <wp:extent cx="6332220" cy="40500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9536" w14:textId="77777777" w:rsidR="003403B2" w:rsidRDefault="003403B2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</w:p>
    <w:p w14:paraId="2E663880" w14:textId="0F352E8F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lastRenderedPageBreak/>
        <w:t xml:space="preserve">Найбільша кількість звернень припадає на послуги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консультування, інформування, соціальної адаптації, комплексної соціальної послуги з формування життєстійкості, натуральної допомоги та догляду вдома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</w:t>
      </w:r>
    </w:p>
    <w:p w14:paraId="22924930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Це свідчить про високу потребу мешканців громади у психологічній, інформаційній та соціальній підтримці в умовах тривалого воєнного стану.</w:t>
      </w:r>
    </w:p>
    <w:p w14:paraId="610E833D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</w:pPr>
      <w:bookmarkStart w:id="8" w:name="результати-оцінювання-потреб"/>
      <w:bookmarkEnd w:id="7"/>
      <w:r w:rsidRPr="00890A8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  <w:t>Результати оцінювання потреб</w:t>
      </w:r>
    </w:p>
    <w:p w14:paraId="04CD9BF9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Результати аналізу свідчать про наявність сталої та зростаючої потреби населення Сумської МТГ у базових соціальних послугах.</w:t>
      </w:r>
    </w:p>
    <w:p w14:paraId="5EE546A5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Значну частину отримувачів соціальних послуг становлять представники вразливих категорій населення, зокрема:</w:t>
      </w:r>
    </w:p>
    <w:p w14:paraId="1CD401B5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внутрішньо переміщені особи;</w:t>
      </w:r>
    </w:p>
    <w:p w14:paraId="0C524776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особи похилого віку;</w:t>
      </w:r>
    </w:p>
    <w:p w14:paraId="4B8C3104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особи з інвалідністю;</w:t>
      </w:r>
    </w:p>
    <w:p w14:paraId="5C41344D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сім’ї з дітьми;</w:t>
      </w:r>
    </w:p>
    <w:p w14:paraId="4C80639C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сім’ї, які перебувають у складних життєвих обставинах;</w:t>
      </w:r>
    </w:p>
    <w:p w14:paraId="747A3840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сім’ї Захисників і Захисниць України.</w:t>
      </w:r>
    </w:p>
    <w:p w14:paraId="0FCCF4A0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Більшість комунальних та недержавних надавачів соціальних послуг, які працюють на території Сумської МТГ, зазначають про можливість збільшення охоплення населення соціальними послугами, зокрема за такими напрямами, як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догляд вдома, соціальна адаптація, консультування, екстрене (кризове) втручання та соціальний супровід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</w:t>
      </w:r>
    </w:p>
    <w:p w14:paraId="44D15DE4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У 2025 році зберігався стабільно високий рівень потреби населення Сумської МТГ у соціальних послугах. Наявна мережа надавачів загалом забезпечувала базові потреби населення, однак існувала необхідність подальшого розвитку окремих соціальних послуг та посилення організаційної й ресурсної спроможності надавачів.</w:t>
      </w:r>
    </w:p>
    <w:p w14:paraId="2F0BBD69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Зокрема, актуальним залишається розвиток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доглядових та підтримуючих послуг для сімей з дітьми та дітей з інвалідністю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</w:t>
      </w:r>
    </w:p>
    <w:p w14:paraId="706E26DB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F4761"/>
          <w:sz w:val="28"/>
          <w:szCs w:val="28"/>
          <w:u w:val="single"/>
          <w:lang w:val="ru-RU" w:eastAsia="zh-CN"/>
        </w:rPr>
      </w:pPr>
      <w:bookmarkStart w:id="9" w:name="X53dd933856c3a822769629e3927f1d8e3f37210"/>
      <w:bookmarkEnd w:id="8"/>
      <w:r w:rsidRPr="00890A86">
        <w:rPr>
          <w:rFonts w:ascii="Times New Roman" w:eastAsia="Times New Roman" w:hAnsi="Times New Roman" w:cs="Times New Roman"/>
          <w:b/>
          <w:color w:val="0F4761"/>
          <w:sz w:val="28"/>
          <w:szCs w:val="28"/>
          <w:u w:val="single"/>
          <w:lang w:val="ru-RU" w:eastAsia="zh-CN"/>
        </w:rPr>
        <w:t>Планові та фактичні показники надання соціальних послуг</w:t>
      </w:r>
    </w:p>
    <w:p w14:paraId="4CD584DC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Для оцінки ефективності надання соціальних послуг у 2025 році здійснено порівняльний аналіз планових та фактичних показників охоплення отримувачів соціальних послуг надавачами, які працюють на території Сумської МТГ.</w:t>
      </w:r>
    </w:p>
    <w:p w14:paraId="3656DBF1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</w:pPr>
      <w:bookmarkStart w:id="10" w:name="Xeedaf6923c6eae06fe91a27de822de0aa858c27"/>
      <w:r w:rsidRPr="00890A8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  <w:lastRenderedPageBreak/>
        <w:t>Планові та фактичні показники надання соціальних послуг у Сумській МТГ протягом 2025 року</w:t>
      </w:r>
    </w:p>
    <w:tbl>
      <w:tblPr>
        <w:tblStyle w:val="Table"/>
        <w:tblW w:w="5273" w:type="pct"/>
        <w:tblLayout w:type="fixed"/>
        <w:tblLook w:val="0020" w:firstRow="1" w:lastRow="0" w:firstColumn="0" w:lastColumn="0" w:noHBand="0" w:noVBand="0"/>
      </w:tblPr>
      <w:tblGrid>
        <w:gridCol w:w="990"/>
        <w:gridCol w:w="1843"/>
        <w:gridCol w:w="1986"/>
        <w:gridCol w:w="1899"/>
        <w:gridCol w:w="1899"/>
        <w:gridCol w:w="1899"/>
      </w:tblGrid>
      <w:tr w:rsidR="00890A86" w:rsidRPr="00890A86" w14:paraId="7CBB4461" w14:textId="77777777" w:rsidTr="00340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91" w:type="dxa"/>
          </w:tcPr>
          <w:p w14:paraId="3D40753B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14:paraId="6CDE399D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Надавач соціальних послуг</w:t>
            </w:r>
          </w:p>
        </w:tc>
        <w:tc>
          <w:tcPr>
            <w:tcW w:w="1986" w:type="dxa"/>
          </w:tcPr>
          <w:p w14:paraId="24552C6E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власності</w:t>
            </w:r>
          </w:p>
        </w:tc>
        <w:tc>
          <w:tcPr>
            <w:tcW w:w="1899" w:type="dxa"/>
          </w:tcPr>
          <w:p w14:paraId="72963D1E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Планова кількість отримувачів на рік</w:t>
            </w:r>
          </w:p>
        </w:tc>
        <w:tc>
          <w:tcPr>
            <w:tcW w:w="1899" w:type="dxa"/>
          </w:tcPr>
          <w:p w14:paraId="08B39AD8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Фактична кількість отримувачів</w:t>
            </w:r>
          </w:p>
        </w:tc>
        <w:tc>
          <w:tcPr>
            <w:tcW w:w="1899" w:type="dxa"/>
          </w:tcPr>
          <w:p w14:paraId="6D47F628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Зміна</w:t>
            </w:r>
          </w:p>
        </w:tc>
      </w:tr>
      <w:tr w:rsidR="00890A86" w:rsidRPr="00890A86" w14:paraId="5B34682E" w14:textId="77777777" w:rsidTr="003403B2">
        <w:tc>
          <w:tcPr>
            <w:tcW w:w="991" w:type="dxa"/>
          </w:tcPr>
          <w:p w14:paraId="373B3426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54C79D5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СМЦСС</w:t>
            </w:r>
          </w:p>
        </w:tc>
        <w:tc>
          <w:tcPr>
            <w:tcW w:w="1986" w:type="dxa"/>
          </w:tcPr>
          <w:p w14:paraId="11EACD07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комунальна</w:t>
            </w:r>
          </w:p>
        </w:tc>
        <w:tc>
          <w:tcPr>
            <w:tcW w:w="1899" w:type="dxa"/>
          </w:tcPr>
          <w:p w14:paraId="77C847B4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8 100</w:t>
            </w:r>
          </w:p>
        </w:tc>
        <w:tc>
          <w:tcPr>
            <w:tcW w:w="1899" w:type="dxa"/>
          </w:tcPr>
          <w:p w14:paraId="5973AD24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6 767</w:t>
            </w:r>
          </w:p>
        </w:tc>
        <w:tc>
          <w:tcPr>
            <w:tcW w:w="1899" w:type="dxa"/>
          </w:tcPr>
          <w:p w14:paraId="45C61585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↓ 16,5 %</w:t>
            </w:r>
          </w:p>
        </w:tc>
      </w:tr>
      <w:tr w:rsidR="00890A86" w:rsidRPr="00890A86" w14:paraId="0A713179" w14:textId="77777777" w:rsidTr="003403B2">
        <w:tc>
          <w:tcPr>
            <w:tcW w:w="991" w:type="dxa"/>
          </w:tcPr>
          <w:p w14:paraId="048D96E3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46E244B4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УБД</w:t>
            </w:r>
          </w:p>
        </w:tc>
        <w:tc>
          <w:tcPr>
            <w:tcW w:w="1986" w:type="dxa"/>
          </w:tcPr>
          <w:p w14:paraId="717276BE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комунальна</w:t>
            </w:r>
          </w:p>
        </w:tc>
        <w:tc>
          <w:tcPr>
            <w:tcW w:w="1899" w:type="dxa"/>
          </w:tcPr>
          <w:p w14:paraId="4F42508E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6 000</w:t>
            </w:r>
          </w:p>
        </w:tc>
        <w:tc>
          <w:tcPr>
            <w:tcW w:w="1899" w:type="dxa"/>
          </w:tcPr>
          <w:p w14:paraId="3E194967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6 301</w:t>
            </w:r>
          </w:p>
        </w:tc>
        <w:tc>
          <w:tcPr>
            <w:tcW w:w="1899" w:type="dxa"/>
          </w:tcPr>
          <w:p w14:paraId="6B21CAE2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↑ 5,0 %</w:t>
            </w:r>
          </w:p>
        </w:tc>
      </w:tr>
      <w:tr w:rsidR="00890A86" w:rsidRPr="00890A86" w14:paraId="3A07872F" w14:textId="77777777" w:rsidTr="003403B2">
        <w:tc>
          <w:tcPr>
            <w:tcW w:w="991" w:type="dxa"/>
          </w:tcPr>
          <w:p w14:paraId="33839BB1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5AF899A2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Територіальний центр</w:t>
            </w:r>
          </w:p>
        </w:tc>
        <w:tc>
          <w:tcPr>
            <w:tcW w:w="1986" w:type="dxa"/>
          </w:tcPr>
          <w:p w14:paraId="0E2ACEDF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комунальна</w:t>
            </w:r>
          </w:p>
        </w:tc>
        <w:tc>
          <w:tcPr>
            <w:tcW w:w="1899" w:type="dxa"/>
          </w:tcPr>
          <w:p w14:paraId="1B4EED86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4 400</w:t>
            </w:r>
          </w:p>
        </w:tc>
        <w:tc>
          <w:tcPr>
            <w:tcW w:w="1899" w:type="dxa"/>
          </w:tcPr>
          <w:p w14:paraId="3DFADD1C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5 526</w:t>
            </w:r>
          </w:p>
        </w:tc>
        <w:tc>
          <w:tcPr>
            <w:tcW w:w="1899" w:type="dxa"/>
          </w:tcPr>
          <w:p w14:paraId="5C01542F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↑ 25,6 %</w:t>
            </w:r>
          </w:p>
        </w:tc>
      </w:tr>
      <w:tr w:rsidR="00890A86" w:rsidRPr="00890A86" w14:paraId="49AEA347" w14:textId="77777777" w:rsidTr="003403B2">
        <w:tc>
          <w:tcPr>
            <w:tcW w:w="991" w:type="dxa"/>
          </w:tcPr>
          <w:p w14:paraId="4DD9F66E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3DCFCA6E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ГО «Мереживо»</w:t>
            </w:r>
          </w:p>
        </w:tc>
        <w:tc>
          <w:tcPr>
            <w:tcW w:w="1986" w:type="dxa"/>
          </w:tcPr>
          <w:p w14:paraId="6795AA16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недержавна</w:t>
            </w:r>
          </w:p>
        </w:tc>
        <w:tc>
          <w:tcPr>
            <w:tcW w:w="1899" w:type="dxa"/>
          </w:tcPr>
          <w:p w14:paraId="73AAFCCF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4 000</w:t>
            </w:r>
          </w:p>
        </w:tc>
        <w:tc>
          <w:tcPr>
            <w:tcW w:w="1899" w:type="dxa"/>
          </w:tcPr>
          <w:p w14:paraId="01B183D8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5 033</w:t>
            </w:r>
          </w:p>
        </w:tc>
        <w:tc>
          <w:tcPr>
            <w:tcW w:w="1899" w:type="dxa"/>
          </w:tcPr>
          <w:p w14:paraId="121BA5A7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↑ 25,8 %</w:t>
            </w:r>
          </w:p>
        </w:tc>
      </w:tr>
      <w:tr w:rsidR="00890A86" w:rsidRPr="00890A86" w14:paraId="0A4F8ED4" w14:textId="77777777" w:rsidTr="003403B2">
        <w:tc>
          <w:tcPr>
            <w:tcW w:w="991" w:type="dxa"/>
          </w:tcPr>
          <w:p w14:paraId="4BBAC0B2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567F47B3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матері та дитини</w:t>
            </w:r>
          </w:p>
        </w:tc>
        <w:tc>
          <w:tcPr>
            <w:tcW w:w="1986" w:type="dxa"/>
          </w:tcPr>
          <w:p w14:paraId="6BEE9277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комунальна</w:t>
            </w:r>
          </w:p>
        </w:tc>
        <w:tc>
          <w:tcPr>
            <w:tcW w:w="1899" w:type="dxa"/>
          </w:tcPr>
          <w:p w14:paraId="3A75C369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99" w:type="dxa"/>
          </w:tcPr>
          <w:p w14:paraId="52D66770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99" w:type="dxa"/>
          </w:tcPr>
          <w:p w14:paraId="064B1ACB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890A86" w:rsidRPr="00890A86" w14:paraId="1BD2109F" w14:textId="77777777" w:rsidTr="003403B2">
        <w:tc>
          <w:tcPr>
            <w:tcW w:w="991" w:type="dxa"/>
          </w:tcPr>
          <w:p w14:paraId="29270D85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A3E6B20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ГО «Феліцитас»</w:t>
            </w:r>
          </w:p>
        </w:tc>
        <w:tc>
          <w:tcPr>
            <w:tcW w:w="1986" w:type="dxa"/>
          </w:tcPr>
          <w:p w14:paraId="27A0933A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недержавна</w:t>
            </w:r>
          </w:p>
        </w:tc>
        <w:tc>
          <w:tcPr>
            <w:tcW w:w="1899" w:type="dxa"/>
          </w:tcPr>
          <w:p w14:paraId="563CE16D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99" w:type="dxa"/>
          </w:tcPr>
          <w:p w14:paraId="78A0E5C4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99" w:type="dxa"/>
          </w:tcPr>
          <w:p w14:paraId="4F9B81DE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sz w:val="28"/>
                <w:szCs w:val="28"/>
              </w:rPr>
              <w:t>↑ 5,0 %</w:t>
            </w:r>
          </w:p>
        </w:tc>
      </w:tr>
      <w:tr w:rsidR="00890A86" w:rsidRPr="00890A86" w14:paraId="6189DDF9" w14:textId="77777777" w:rsidTr="003403B2">
        <w:tc>
          <w:tcPr>
            <w:tcW w:w="991" w:type="dxa"/>
          </w:tcPr>
          <w:p w14:paraId="64D4579C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843" w:type="dxa"/>
          </w:tcPr>
          <w:p w14:paraId="4131F030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33D82639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14:paraId="063F28CF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22 605</w:t>
            </w:r>
          </w:p>
        </w:tc>
        <w:tc>
          <w:tcPr>
            <w:tcW w:w="1899" w:type="dxa"/>
          </w:tcPr>
          <w:p w14:paraId="400D4758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23 734</w:t>
            </w:r>
          </w:p>
        </w:tc>
        <w:tc>
          <w:tcPr>
            <w:tcW w:w="1899" w:type="dxa"/>
          </w:tcPr>
          <w:p w14:paraId="5876D302" w14:textId="77777777" w:rsidR="00890A86" w:rsidRPr="00890A86" w:rsidRDefault="00890A86" w:rsidP="00890A86">
            <w:pPr>
              <w:spacing w:before="36" w:after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↑ 5,0 %</w:t>
            </w:r>
          </w:p>
        </w:tc>
      </w:tr>
    </w:tbl>
    <w:p w14:paraId="01158908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Аналіз планових та фактичних показників свідчить, що більшість надавачів соціальних послуг виконали або перевиконали заплановані показники охоплення отримувачів.</w:t>
      </w:r>
    </w:p>
    <w:p w14:paraId="323696C7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Загальна фактична кількість отримувачів соціальних послуг становила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23 734 особи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, що на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1 129 осіб, або 5,0 %, більше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за плановий показник у 22 605 осіб.</w:t>
      </w:r>
    </w:p>
    <w:p w14:paraId="734323D6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Це підтверджує актуальність соціальних послуг та стабільно високий попит на них з боку мешканців громади.</w:t>
      </w:r>
    </w:p>
    <w:p w14:paraId="71C2C263" w14:textId="77777777" w:rsidR="00890A86" w:rsidRPr="00890A86" w:rsidRDefault="00890A86" w:rsidP="00890A86">
      <w:pPr>
        <w:keepNext/>
        <w:keepLines/>
        <w:spacing w:before="1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</w:pPr>
      <w:bookmarkStart w:id="11" w:name="висновки"/>
      <w:bookmarkEnd w:id="9"/>
      <w:bookmarkEnd w:id="10"/>
      <w:r w:rsidRPr="00890A86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lang w:val="ru-RU" w:eastAsia="zh-CN"/>
        </w:rPr>
        <w:t>Висновки</w:t>
      </w:r>
    </w:p>
    <w:p w14:paraId="57A838F0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Проведене оцінювання потреб населення Сумської МТГ у соціальних послугах свідчить про наявність комплексних соціальних викликів, які потребують системного підходу та подальшого розвитку спектра соціальних послуг.</w:t>
      </w:r>
    </w:p>
    <w:p w14:paraId="6B9D3B75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Найбільш уразливими категоріями населення залишаються:</w:t>
      </w:r>
    </w:p>
    <w:p w14:paraId="09FEE367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люди похилого віку;</w:t>
      </w:r>
    </w:p>
    <w:p w14:paraId="1266AF7A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особи з інвалідністю;</w:t>
      </w:r>
    </w:p>
    <w:p w14:paraId="0866929F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сім’ї з дітьми, які перебувають у складних життєвих обставинах;</w:t>
      </w:r>
    </w:p>
    <w:p w14:paraId="6213932F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t>внутрішньо переміщені особи;</w:t>
      </w:r>
    </w:p>
    <w:p w14:paraId="24025F79" w14:textId="77777777" w:rsidR="00890A86" w:rsidRPr="00890A86" w:rsidRDefault="00890A86" w:rsidP="00890A86">
      <w:pPr>
        <w:numPr>
          <w:ilvl w:val="0"/>
          <w:numId w:val="42"/>
        </w:numPr>
        <w:spacing w:before="36" w:after="3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сім’ї Захисників і Захисниць України та інші категорії населення, які потребують соціальної підтримки.</w:t>
      </w:r>
    </w:p>
    <w:p w14:paraId="0A155FEE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Існуюча мережа надавачів соціальних послуг загалом забезпечує базові потреби населення громади. Водночас наявні кадрові, фінансові та інфраструктурні обмеження ускладнюють подальше розширення охоплення мешканців соціальними послугами та забезпечення їх своєчасного і якісного надання.</w:t>
      </w:r>
    </w:p>
    <w:p w14:paraId="710DDF10" w14:textId="77777777" w:rsidR="00890A86" w:rsidRPr="00890A86" w:rsidRDefault="00890A86" w:rsidP="00890A86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У подальшому актуальним залишається </w:t>
      </w:r>
      <w:r w:rsidRPr="00890A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розвиток мережі надавачів соціальних послуг, розширення спектра доглядових, підтримуючих, реабілітаційних та соціально-психологічних послуг, а також посилення спроможності надавачів задовольняти зростаючі потреби мешканців Сумської МТГ</w:t>
      </w:r>
      <w:r w:rsidRPr="00890A86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.</w:t>
      </w:r>
    </w:p>
    <w:bookmarkEnd w:id="0"/>
    <w:bookmarkEnd w:id="11"/>
    <w:p w14:paraId="7905E2AD" w14:textId="71D60A92" w:rsidR="00890A86" w:rsidRPr="00890A86" w:rsidRDefault="00890A86" w:rsidP="0089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606977" w14:textId="7CBADFC1" w:rsidR="00890A86" w:rsidRPr="00890A86" w:rsidRDefault="00890A86" w:rsidP="0089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26F40A" w14:textId="796CE019" w:rsidR="00890A86" w:rsidRPr="00890A86" w:rsidRDefault="00890A86" w:rsidP="0089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DE0F53" w14:textId="41FEC0E3" w:rsidR="00890A86" w:rsidRPr="00890A86" w:rsidRDefault="00890A86" w:rsidP="0089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3AA738" w14:textId="162DF89F" w:rsidR="00890A86" w:rsidRPr="00890A86" w:rsidRDefault="00890A86" w:rsidP="0089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A7A71A" w14:textId="77777777" w:rsidR="00890A86" w:rsidRPr="00890A86" w:rsidRDefault="00890A86" w:rsidP="00890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90A86" w:rsidRPr="00890A86" w:rsidSect="003403B2">
      <w:headerReference w:type="default" r:id="rId9"/>
      <w:pgSz w:w="12240" w:h="15840" w:code="1"/>
      <w:pgMar w:top="567" w:right="567" w:bottom="1134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1DAA7" w14:textId="77777777" w:rsidR="00325990" w:rsidRDefault="00325990" w:rsidP="003403B2">
      <w:pPr>
        <w:spacing w:after="0" w:line="240" w:lineRule="auto"/>
      </w:pPr>
      <w:r>
        <w:separator/>
      </w:r>
    </w:p>
  </w:endnote>
  <w:endnote w:type="continuationSeparator" w:id="0">
    <w:p w14:paraId="7C0725B2" w14:textId="77777777" w:rsidR="00325990" w:rsidRDefault="00325990" w:rsidP="0034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D0D22" w14:textId="77777777" w:rsidR="00325990" w:rsidRDefault="00325990" w:rsidP="003403B2">
      <w:pPr>
        <w:spacing w:after="0" w:line="240" w:lineRule="auto"/>
      </w:pPr>
      <w:r>
        <w:separator/>
      </w:r>
    </w:p>
  </w:footnote>
  <w:footnote w:type="continuationSeparator" w:id="0">
    <w:p w14:paraId="38525C13" w14:textId="77777777" w:rsidR="00325990" w:rsidRDefault="00325990" w:rsidP="00340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0827688"/>
      <w:docPartObj>
        <w:docPartGallery w:val="Page Numbers (Top of Page)"/>
        <w:docPartUnique/>
      </w:docPartObj>
    </w:sdtPr>
    <w:sdtContent>
      <w:p w14:paraId="747D1808" w14:textId="77777777" w:rsidR="003403B2" w:rsidRDefault="003403B2">
        <w:pPr>
          <w:pStyle w:val="a5"/>
          <w:jc w:val="center"/>
        </w:pPr>
      </w:p>
      <w:p w14:paraId="061FA146" w14:textId="77777777" w:rsidR="003403B2" w:rsidRDefault="003403B2">
        <w:pPr>
          <w:pStyle w:val="a5"/>
          <w:jc w:val="center"/>
        </w:pPr>
      </w:p>
      <w:p w14:paraId="7998C0BB" w14:textId="77777777" w:rsidR="003403B2" w:rsidRDefault="003403B2">
        <w:pPr>
          <w:pStyle w:val="a5"/>
          <w:jc w:val="center"/>
        </w:pPr>
      </w:p>
      <w:p w14:paraId="18CD1E5A" w14:textId="2FF232EF" w:rsidR="003403B2" w:rsidRDefault="003403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0516E89" w14:textId="77777777" w:rsidR="003403B2" w:rsidRDefault="003403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1"/>
    <w:multiLevelType w:val="multilevel"/>
    <w:tmpl w:val="9B766E1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A99411"/>
    <w:multiLevelType w:val="multilevel"/>
    <w:tmpl w:val="1CEAB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1D16631"/>
    <w:multiLevelType w:val="multilevel"/>
    <w:tmpl w:val="44F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60265A"/>
    <w:multiLevelType w:val="multilevel"/>
    <w:tmpl w:val="F4C2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8C0D16"/>
    <w:multiLevelType w:val="hybridMultilevel"/>
    <w:tmpl w:val="605E6E3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27450A"/>
    <w:multiLevelType w:val="hybridMultilevel"/>
    <w:tmpl w:val="A38A8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CA3D59"/>
    <w:multiLevelType w:val="multilevel"/>
    <w:tmpl w:val="5CB2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3E024A"/>
    <w:multiLevelType w:val="hybridMultilevel"/>
    <w:tmpl w:val="DA42AD80"/>
    <w:lvl w:ilvl="0" w:tplc="76A4F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D9048F6"/>
    <w:multiLevelType w:val="hybridMultilevel"/>
    <w:tmpl w:val="6D56E0F4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22317723"/>
    <w:multiLevelType w:val="multilevel"/>
    <w:tmpl w:val="B928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5E7E7D"/>
    <w:multiLevelType w:val="hybridMultilevel"/>
    <w:tmpl w:val="9800ACFC"/>
    <w:lvl w:ilvl="0" w:tplc="0422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25001BDE"/>
    <w:multiLevelType w:val="multilevel"/>
    <w:tmpl w:val="B50A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D849A5"/>
    <w:multiLevelType w:val="hybridMultilevel"/>
    <w:tmpl w:val="11C2B08E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A33100C"/>
    <w:multiLevelType w:val="hybridMultilevel"/>
    <w:tmpl w:val="B010D5F4"/>
    <w:lvl w:ilvl="0" w:tplc="D1309D00"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 w15:restartNumberingAfterBreak="0">
    <w:nsid w:val="2CE1787C"/>
    <w:multiLevelType w:val="hybridMultilevel"/>
    <w:tmpl w:val="81CAB88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CB077C1"/>
    <w:multiLevelType w:val="hybridMultilevel"/>
    <w:tmpl w:val="A46EBFB4"/>
    <w:lvl w:ilvl="0" w:tplc="F894D5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6326AF"/>
    <w:multiLevelType w:val="multilevel"/>
    <w:tmpl w:val="A8A6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7F172C"/>
    <w:multiLevelType w:val="multilevel"/>
    <w:tmpl w:val="4C3E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266CEC"/>
    <w:multiLevelType w:val="multilevel"/>
    <w:tmpl w:val="CDCE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473F6D"/>
    <w:multiLevelType w:val="multilevel"/>
    <w:tmpl w:val="E6D6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471FFA"/>
    <w:multiLevelType w:val="hybridMultilevel"/>
    <w:tmpl w:val="6AB076F6"/>
    <w:lvl w:ilvl="0" w:tplc="3A1CA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7C2D2B"/>
    <w:multiLevelType w:val="multilevel"/>
    <w:tmpl w:val="2E3A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CD6B06"/>
    <w:multiLevelType w:val="multilevel"/>
    <w:tmpl w:val="090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88018D"/>
    <w:multiLevelType w:val="multilevel"/>
    <w:tmpl w:val="59AA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1B1622"/>
    <w:multiLevelType w:val="multilevel"/>
    <w:tmpl w:val="8822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1A25E0"/>
    <w:multiLevelType w:val="multilevel"/>
    <w:tmpl w:val="7ADE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3A69F9"/>
    <w:multiLevelType w:val="multilevel"/>
    <w:tmpl w:val="9D1A8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E870DF"/>
    <w:multiLevelType w:val="hybridMultilevel"/>
    <w:tmpl w:val="C8B0888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13959BE"/>
    <w:multiLevelType w:val="multilevel"/>
    <w:tmpl w:val="0EAC2B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F3515A"/>
    <w:multiLevelType w:val="multilevel"/>
    <w:tmpl w:val="8276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351BFE"/>
    <w:multiLevelType w:val="multilevel"/>
    <w:tmpl w:val="372E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1B1792"/>
    <w:multiLevelType w:val="multilevel"/>
    <w:tmpl w:val="E35C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695BEB"/>
    <w:multiLevelType w:val="multilevel"/>
    <w:tmpl w:val="0812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E866DE"/>
    <w:multiLevelType w:val="multilevel"/>
    <w:tmpl w:val="2ADC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4"/>
  </w:num>
  <w:num w:numId="11">
    <w:abstractNumId w:val="22"/>
  </w:num>
  <w:num w:numId="12">
    <w:abstractNumId w:val="17"/>
  </w:num>
  <w:num w:numId="13">
    <w:abstractNumId w:val="12"/>
  </w:num>
  <w:num w:numId="14">
    <w:abstractNumId w:val="11"/>
  </w:num>
  <w:num w:numId="15">
    <w:abstractNumId w:val="39"/>
  </w:num>
  <w:num w:numId="16">
    <w:abstractNumId w:val="31"/>
  </w:num>
  <w:num w:numId="17">
    <w:abstractNumId w:val="18"/>
  </w:num>
  <w:num w:numId="18">
    <w:abstractNumId w:val="33"/>
  </w:num>
  <w:num w:numId="19">
    <w:abstractNumId w:val="41"/>
  </w:num>
  <w:num w:numId="20">
    <w:abstractNumId w:val="27"/>
  </w:num>
  <w:num w:numId="21">
    <w:abstractNumId w:val="26"/>
  </w:num>
  <w:num w:numId="22">
    <w:abstractNumId w:val="40"/>
  </w:num>
  <w:num w:numId="23">
    <w:abstractNumId w:val="28"/>
  </w:num>
  <w:num w:numId="24">
    <w:abstractNumId w:val="15"/>
  </w:num>
  <w:num w:numId="25">
    <w:abstractNumId w:val="38"/>
  </w:num>
  <w:num w:numId="26">
    <w:abstractNumId w:val="20"/>
  </w:num>
  <w:num w:numId="27">
    <w:abstractNumId w:val="32"/>
  </w:num>
  <w:num w:numId="28">
    <w:abstractNumId w:val="42"/>
  </w:num>
  <w:num w:numId="29">
    <w:abstractNumId w:val="37"/>
  </w:num>
  <w:num w:numId="30">
    <w:abstractNumId w:val="35"/>
  </w:num>
  <w:num w:numId="31">
    <w:abstractNumId w:val="30"/>
  </w:num>
  <w:num w:numId="32">
    <w:abstractNumId w:val="34"/>
  </w:num>
  <w:num w:numId="33">
    <w:abstractNumId w:val="36"/>
  </w:num>
  <w:num w:numId="34">
    <w:abstractNumId w:val="16"/>
  </w:num>
  <w:num w:numId="35">
    <w:abstractNumId w:val="23"/>
  </w:num>
  <w:num w:numId="36">
    <w:abstractNumId w:val="19"/>
  </w:num>
  <w:num w:numId="37">
    <w:abstractNumId w:val="13"/>
  </w:num>
  <w:num w:numId="38">
    <w:abstractNumId w:val="25"/>
  </w:num>
  <w:num w:numId="39">
    <w:abstractNumId w:val="14"/>
  </w:num>
  <w:num w:numId="40">
    <w:abstractNumId w:val="21"/>
  </w:num>
  <w:num w:numId="41">
    <w:abstractNumId w:val="29"/>
  </w:num>
  <w:num w:numId="42">
    <w:abstractNumId w:val="9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6D03"/>
    <w:rsid w:val="00027630"/>
    <w:rsid w:val="00032225"/>
    <w:rsid w:val="000322C2"/>
    <w:rsid w:val="00034616"/>
    <w:rsid w:val="00042384"/>
    <w:rsid w:val="000471AD"/>
    <w:rsid w:val="0006063C"/>
    <w:rsid w:val="00075261"/>
    <w:rsid w:val="00081166"/>
    <w:rsid w:val="00082FD1"/>
    <w:rsid w:val="000A2CB6"/>
    <w:rsid w:val="000B02AD"/>
    <w:rsid w:val="000C3ADC"/>
    <w:rsid w:val="000C46BE"/>
    <w:rsid w:val="000C59D1"/>
    <w:rsid w:val="000D27F6"/>
    <w:rsid w:val="00100091"/>
    <w:rsid w:val="00114DE6"/>
    <w:rsid w:val="00124811"/>
    <w:rsid w:val="0012704F"/>
    <w:rsid w:val="00132EF2"/>
    <w:rsid w:val="0014606E"/>
    <w:rsid w:val="001469BE"/>
    <w:rsid w:val="0015074B"/>
    <w:rsid w:val="001512B0"/>
    <w:rsid w:val="00156DF9"/>
    <w:rsid w:val="00161191"/>
    <w:rsid w:val="001719F7"/>
    <w:rsid w:val="00173DF0"/>
    <w:rsid w:val="0019080F"/>
    <w:rsid w:val="001A08F3"/>
    <w:rsid w:val="001A346E"/>
    <w:rsid w:val="001A425E"/>
    <w:rsid w:val="001A7412"/>
    <w:rsid w:val="001B722E"/>
    <w:rsid w:val="001B7F62"/>
    <w:rsid w:val="001C0E4F"/>
    <w:rsid w:val="001F5203"/>
    <w:rsid w:val="002069E6"/>
    <w:rsid w:val="00211499"/>
    <w:rsid w:val="002428AA"/>
    <w:rsid w:val="00246E14"/>
    <w:rsid w:val="002621B0"/>
    <w:rsid w:val="00272145"/>
    <w:rsid w:val="00276C88"/>
    <w:rsid w:val="0028412A"/>
    <w:rsid w:val="0029639D"/>
    <w:rsid w:val="002972C9"/>
    <w:rsid w:val="002A2613"/>
    <w:rsid w:val="002B0CE5"/>
    <w:rsid w:val="002B53C7"/>
    <w:rsid w:val="002D0D88"/>
    <w:rsid w:val="002D637D"/>
    <w:rsid w:val="00306F0F"/>
    <w:rsid w:val="003221B1"/>
    <w:rsid w:val="00325990"/>
    <w:rsid w:val="00326F90"/>
    <w:rsid w:val="003403B2"/>
    <w:rsid w:val="00343D07"/>
    <w:rsid w:val="00347DE3"/>
    <w:rsid w:val="003500F6"/>
    <w:rsid w:val="003569FD"/>
    <w:rsid w:val="00376808"/>
    <w:rsid w:val="003803E6"/>
    <w:rsid w:val="003A2AEF"/>
    <w:rsid w:val="003A522E"/>
    <w:rsid w:val="003B520F"/>
    <w:rsid w:val="003C3858"/>
    <w:rsid w:val="003E0448"/>
    <w:rsid w:val="003F5A86"/>
    <w:rsid w:val="0040375D"/>
    <w:rsid w:val="00403D2C"/>
    <w:rsid w:val="004135E3"/>
    <w:rsid w:val="00425AEB"/>
    <w:rsid w:val="00444318"/>
    <w:rsid w:val="004509A6"/>
    <w:rsid w:val="00454752"/>
    <w:rsid w:val="00456D19"/>
    <w:rsid w:val="00462963"/>
    <w:rsid w:val="004933DF"/>
    <w:rsid w:val="004A7278"/>
    <w:rsid w:val="004B7B6A"/>
    <w:rsid w:val="004C43CE"/>
    <w:rsid w:val="004C7FFC"/>
    <w:rsid w:val="004D4431"/>
    <w:rsid w:val="004E7748"/>
    <w:rsid w:val="00503C8A"/>
    <w:rsid w:val="00513609"/>
    <w:rsid w:val="0052260F"/>
    <w:rsid w:val="0052567D"/>
    <w:rsid w:val="0053049A"/>
    <w:rsid w:val="00536CE2"/>
    <w:rsid w:val="005900C4"/>
    <w:rsid w:val="005B1DB9"/>
    <w:rsid w:val="005C17C1"/>
    <w:rsid w:val="005C3722"/>
    <w:rsid w:val="005C696D"/>
    <w:rsid w:val="005E2DB1"/>
    <w:rsid w:val="005F21FB"/>
    <w:rsid w:val="005F3069"/>
    <w:rsid w:val="0060004A"/>
    <w:rsid w:val="00620C7D"/>
    <w:rsid w:val="0062308E"/>
    <w:rsid w:val="00631606"/>
    <w:rsid w:val="00633750"/>
    <w:rsid w:val="0063695D"/>
    <w:rsid w:val="006570D0"/>
    <w:rsid w:val="0066707C"/>
    <w:rsid w:val="00693CE0"/>
    <w:rsid w:val="00694E32"/>
    <w:rsid w:val="006972F5"/>
    <w:rsid w:val="006C2FE9"/>
    <w:rsid w:val="006D1D04"/>
    <w:rsid w:val="006E5C3F"/>
    <w:rsid w:val="006F251A"/>
    <w:rsid w:val="00712AC1"/>
    <w:rsid w:val="0073289D"/>
    <w:rsid w:val="007354C7"/>
    <w:rsid w:val="00737463"/>
    <w:rsid w:val="0074212F"/>
    <w:rsid w:val="007555E9"/>
    <w:rsid w:val="00790447"/>
    <w:rsid w:val="00790D6C"/>
    <w:rsid w:val="007E742D"/>
    <w:rsid w:val="007F4BE6"/>
    <w:rsid w:val="007F7FE4"/>
    <w:rsid w:val="00804746"/>
    <w:rsid w:val="008066C3"/>
    <w:rsid w:val="0081360F"/>
    <w:rsid w:val="008227DC"/>
    <w:rsid w:val="0082515F"/>
    <w:rsid w:val="00831FC2"/>
    <w:rsid w:val="00835747"/>
    <w:rsid w:val="0084458B"/>
    <w:rsid w:val="008528DA"/>
    <w:rsid w:val="00861C1C"/>
    <w:rsid w:val="00862399"/>
    <w:rsid w:val="0087037B"/>
    <w:rsid w:val="0088305B"/>
    <w:rsid w:val="00885565"/>
    <w:rsid w:val="00890A86"/>
    <w:rsid w:val="00894E9F"/>
    <w:rsid w:val="00896F78"/>
    <w:rsid w:val="008A3FD1"/>
    <w:rsid w:val="008B7BB9"/>
    <w:rsid w:val="008D1F4F"/>
    <w:rsid w:val="008E2990"/>
    <w:rsid w:val="008F0224"/>
    <w:rsid w:val="008F6484"/>
    <w:rsid w:val="00910E42"/>
    <w:rsid w:val="00916693"/>
    <w:rsid w:val="00926FA1"/>
    <w:rsid w:val="00931E3A"/>
    <w:rsid w:val="00936709"/>
    <w:rsid w:val="00940100"/>
    <w:rsid w:val="0094074D"/>
    <w:rsid w:val="0094441C"/>
    <w:rsid w:val="00954767"/>
    <w:rsid w:val="009571BB"/>
    <w:rsid w:val="0097386F"/>
    <w:rsid w:val="00995F12"/>
    <w:rsid w:val="009A3E23"/>
    <w:rsid w:val="009A500F"/>
    <w:rsid w:val="009C7346"/>
    <w:rsid w:val="009E46C7"/>
    <w:rsid w:val="009F2872"/>
    <w:rsid w:val="00A069FB"/>
    <w:rsid w:val="00A1159B"/>
    <w:rsid w:val="00A21855"/>
    <w:rsid w:val="00A24F6E"/>
    <w:rsid w:val="00A37C68"/>
    <w:rsid w:val="00A51E4A"/>
    <w:rsid w:val="00A860B3"/>
    <w:rsid w:val="00A8634B"/>
    <w:rsid w:val="00AA04EB"/>
    <w:rsid w:val="00AA1D8D"/>
    <w:rsid w:val="00AB7DA1"/>
    <w:rsid w:val="00AC0C3C"/>
    <w:rsid w:val="00AD0395"/>
    <w:rsid w:val="00AF78C7"/>
    <w:rsid w:val="00B01B36"/>
    <w:rsid w:val="00B13FC0"/>
    <w:rsid w:val="00B21769"/>
    <w:rsid w:val="00B305B2"/>
    <w:rsid w:val="00B319E6"/>
    <w:rsid w:val="00B33F54"/>
    <w:rsid w:val="00B45363"/>
    <w:rsid w:val="00B47730"/>
    <w:rsid w:val="00B61B48"/>
    <w:rsid w:val="00B631C8"/>
    <w:rsid w:val="00B70140"/>
    <w:rsid w:val="00B77E4C"/>
    <w:rsid w:val="00B8193B"/>
    <w:rsid w:val="00B87DED"/>
    <w:rsid w:val="00BA7FB7"/>
    <w:rsid w:val="00BB2974"/>
    <w:rsid w:val="00BC31A1"/>
    <w:rsid w:val="00BC79EC"/>
    <w:rsid w:val="00BE2EB9"/>
    <w:rsid w:val="00C25D50"/>
    <w:rsid w:val="00C33FD4"/>
    <w:rsid w:val="00C371F7"/>
    <w:rsid w:val="00C37A54"/>
    <w:rsid w:val="00C40D6B"/>
    <w:rsid w:val="00C66559"/>
    <w:rsid w:val="00C822B8"/>
    <w:rsid w:val="00C924FA"/>
    <w:rsid w:val="00CB0664"/>
    <w:rsid w:val="00CB2439"/>
    <w:rsid w:val="00CB341A"/>
    <w:rsid w:val="00CB5A65"/>
    <w:rsid w:val="00CC5EDC"/>
    <w:rsid w:val="00CD43E9"/>
    <w:rsid w:val="00CD5EE8"/>
    <w:rsid w:val="00CE112B"/>
    <w:rsid w:val="00CE79CE"/>
    <w:rsid w:val="00D01B5A"/>
    <w:rsid w:val="00D02FE9"/>
    <w:rsid w:val="00D144E1"/>
    <w:rsid w:val="00D203C5"/>
    <w:rsid w:val="00D348BB"/>
    <w:rsid w:val="00D45238"/>
    <w:rsid w:val="00D559F6"/>
    <w:rsid w:val="00D6682F"/>
    <w:rsid w:val="00D82301"/>
    <w:rsid w:val="00D8658D"/>
    <w:rsid w:val="00DA3206"/>
    <w:rsid w:val="00DB0A42"/>
    <w:rsid w:val="00DE0CA4"/>
    <w:rsid w:val="00DF61F5"/>
    <w:rsid w:val="00E00DC2"/>
    <w:rsid w:val="00E03BAF"/>
    <w:rsid w:val="00E114E7"/>
    <w:rsid w:val="00E1572F"/>
    <w:rsid w:val="00E22211"/>
    <w:rsid w:val="00E33E3D"/>
    <w:rsid w:val="00E4086B"/>
    <w:rsid w:val="00E56188"/>
    <w:rsid w:val="00E5797C"/>
    <w:rsid w:val="00E744F7"/>
    <w:rsid w:val="00E74E41"/>
    <w:rsid w:val="00E82BB7"/>
    <w:rsid w:val="00E95A87"/>
    <w:rsid w:val="00EB0ECB"/>
    <w:rsid w:val="00EC1C94"/>
    <w:rsid w:val="00ED25F9"/>
    <w:rsid w:val="00ED71E3"/>
    <w:rsid w:val="00EE3DC7"/>
    <w:rsid w:val="00F022E2"/>
    <w:rsid w:val="00F07C29"/>
    <w:rsid w:val="00F229A9"/>
    <w:rsid w:val="00F4362E"/>
    <w:rsid w:val="00F440A2"/>
    <w:rsid w:val="00F523C9"/>
    <w:rsid w:val="00F66245"/>
    <w:rsid w:val="00F7632F"/>
    <w:rsid w:val="00F76BDA"/>
    <w:rsid w:val="00F77F8D"/>
    <w:rsid w:val="00F824E9"/>
    <w:rsid w:val="00FB178A"/>
    <w:rsid w:val="00FB46C8"/>
    <w:rsid w:val="00FC693F"/>
    <w:rsid w:val="00FD0D4E"/>
    <w:rsid w:val="00FE5E08"/>
    <w:rsid w:val="00FF55AF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5B454"/>
  <w14:defaultImageDpi w14:val="300"/>
  <w15:docId w15:val="{04B563B7-27D9-4873-897A-0BDE31F1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vps14">
    <w:name w:val="rvps14"/>
    <w:basedOn w:val="a1"/>
    <w:rsid w:val="00246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rvts82">
    <w:name w:val="span_rvts82"/>
    <w:basedOn w:val="a2"/>
    <w:rsid w:val="00246E14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paragraph" w:customStyle="1" w:styleId="rvps2">
    <w:name w:val="rvps2"/>
    <w:basedOn w:val="a1"/>
    <w:rsid w:val="00E22211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rvts46">
    <w:name w:val="span_rvts46"/>
    <w:basedOn w:val="a2"/>
    <w:rsid w:val="00E22211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2"/>
    <w:rsid w:val="00E22211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paragraph" w:styleId="affa">
    <w:name w:val="Normal (Web)"/>
    <w:basedOn w:val="a1"/>
    <w:uiPriority w:val="99"/>
    <w:unhideWhenUsed/>
    <w:rsid w:val="00CD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whitespace-normal">
    <w:name w:val="whitespace-normal"/>
    <w:basedOn w:val="a2"/>
    <w:rsid w:val="00D203C5"/>
  </w:style>
  <w:style w:type="paragraph" w:styleId="affb">
    <w:name w:val="Balloon Text"/>
    <w:basedOn w:val="a1"/>
    <w:link w:val="affc"/>
    <w:uiPriority w:val="99"/>
    <w:semiHidden/>
    <w:unhideWhenUsed/>
    <w:rsid w:val="00FB1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c">
    <w:name w:val="Текст у виносці Знак"/>
    <w:basedOn w:val="a2"/>
    <w:link w:val="affb"/>
    <w:uiPriority w:val="99"/>
    <w:semiHidden/>
    <w:rsid w:val="00FB178A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2"/>
    <w:rsid w:val="007F4BE6"/>
  </w:style>
  <w:style w:type="character" w:styleId="affd">
    <w:name w:val="Hyperlink"/>
    <w:basedOn w:val="a2"/>
    <w:uiPriority w:val="99"/>
    <w:unhideWhenUsed/>
    <w:rsid w:val="00F66245"/>
    <w:rPr>
      <w:color w:val="0000FF" w:themeColor="hyperlink"/>
      <w:u w:val="single"/>
    </w:rPr>
  </w:style>
  <w:style w:type="table" w:customStyle="1" w:styleId="Table">
    <w:name w:val="Table"/>
    <w:semiHidden/>
    <w:unhideWhenUsed/>
    <w:qFormat/>
    <w:rsid w:val="00890A86"/>
    <w:pPr>
      <w:spacing w:line="240" w:lineRule="auto"/>
    </w:pPr>
    <w:rPr>
      <w:sz w:val="24"/>
      <w:szCs w:val="24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character" w:styleId="affe">
    <w:name w:val="FollowedHyperlink"/>
    <w:basedOn w:val="a2"/>
    <w:uiPriority w:val="99"/>
    <w:semiHidden/>
    <w:unhideWhenUsed/>
    <w:rsid w:val="00890A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2967">
          <w:blockQuote w:val="1"/>
          <w:marLeft w:val="720"/>
          <w:marRight w:val="720"/>
          <w:marTop w:val="100"/>
          <w:marBottom w:val="10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4FF948-4B7D-44D5-8236-C2385FE4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6547</Words>
  <Characters>3732</Characters>
  <Application>Microsoft Office Word</Application>
  <DocSecurity>0</DocSecurity>
  <Lines>31</Lines>
  <Paragraphs>20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10259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Тетяна Іванівна Ревенко</cp:lastModifiedBy>
  <cp:revision>2</cp:revision>
  <cp:lastPrinted>2026-07-31T11:56:00Z</cp:lastPrinted>
  <dcterms:created xsi:type="dcterms:W3CDTF">2026-08-11T08:12:00Z</dcterms:created>
  <dcterms:modified xsi:type="dcterms:W3CDTF">2026-08-11T08:12:00Z</dcterms:modified>
  <cp:category/>
</cp:coreProperties>
</file>